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N-able.]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N-able.]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N-able.]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N-able.]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N-able.]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N-able.]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N-able.]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